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8515D" w14:textId="77777777" w:rsidR="00D846BF" w:rsidRDefault="00D846BF" w:rsidP="00D846BF">
      <w:pPr>
        <w:framePr w:w="9991" w:h="2776" w:hRule="exact" w:wrap="none" w:vAnchor="page" w:hAnchor="page" w:x="1081" w:y="769"/>
        <w:spacing w:after="0" w:line="240" w:lineRule="auto"/>
        <w:ind w:right="40"/>
        <w:jc w:val="center"/>
      </w:pPr>
      <w:bookmarkStart w:id="0" w:name="bookmark2"/>
      <w:r>
        <w:rPr>
          <w:rStyle w:val="30"/>
          <w:rFonts w:eastAsiaTheme="minorHAnsi"/>
          <w:b w:val="0"/>
          <w:bCs w:val="0"/>
        </w:rPr>
        <w:t>Пример оформления тезисов</w:t>
      </w:r>
      <w:bookmarkEnd w:id="0"/>
    </w:p>
    <w:p w14:paraId="3E1632E1" w14:textId="77777777" w:rsidR="00D846BF" w:rsidRPr="00262AFF" w:rsidRDefault="00D846BF" w:rsidP="00D846BF">
      <w:pPr>
        <w:framePr w:w="9991" w:h="2776" w:hRule="exact" w:wrap="none" w:vAnchor="page" w:hAnchor="page" w:x="1081" w:y="769"/>
        <w:spacing w:after="0" w:line="240" w:lineRule="auto"/>
        <w:ind w:left="6560"/>
        <w:jc w:val="right"/>
      </w:pPr>
      <w:r>
        <w:rPr>
          <w:rStyle w:val="20"/>
          <w:rFonts w:eastAsiaTheme="minorHAnsi"/>
        </w:rPr>
        <w:t xml:space="preserve">Иванов И.И. </w:t>
      </w:r>
      <w:r w:rsidRPr="00262AFF">
        <w:rPr>
          <w:rStyle w:val="2Arial115pt"/>
          <w:rFonts w:ascii="Times New Roman" w:hAnsi="Times New Roman" w:cs="Times New Roman"/>
        </w:rPr>
        <w:t xml:space="preserve">УО </w:t>
      </w:r>
      <w:proofErr w:type="gramStart"/>
      <w:r w:rsidRPr="00262AFF">
        <w:rPr>
          <w:rStyle w:val="2Arial115pt"/>
          <w:rFonts w:ascii="Times New Roman" w:hAnsi="Times New Roman" w:cs="Times New Roman"/>
        </w:rPr>
        <w:t>«....</w:t>
      </w:r>
      <w:proofErr w:type="gramEnd"/>
      <w:r w:rsidRPr="00262AFF">
        <w:rPr>
          <w:rStyle w:val="2Arial115pt"/>
          <w:rFonts w:ascii="Times New Roman" w:hAnsi="Times New Roman" w:cs="Times New Roman"/>
        </w:rPr>
        <w:t>»</w:t>
      </w:r>
    </w:p>
    <w:p w14:paraId="74AAB043" w14:textId="77777777" w:rsidR="00D846BF" w:rsidRPr="00D846BF" w:rsidRDefault="00D846BF" w:rsidP="00D846BF">
      <w:pPr>
        <w:framePr w:w="9991" w:h="2776" w:hRule="exact" w:wrap="none" w:vAnchor="page" w:hAnchor="page" w:x="1081" w:y="769"/>
        <w:spacing w:after="0" w:line="240" w:lineRule="auto"/>
        <w:ind w:right="40"/>
        <w:jc w:val="center"/>
        <w:rPr>
          <w:i/>
          <w:iCs/>
        </w:rPr>
      </w:pPr>
      <w:r>
        <w:rPr>
          <w:rStyle w:val="60"/>
          <w:rFonts w:eastAsiaTheme="minorHAnsi"/>
          <w:i w:val="0"/>
          <w:iCs w:val="0"/>
        </w:rPr>
        <w:t>пустая строка</w:t>
      </w:r>
      <w:r>
        <w:rPr>
          <w:rStyle w:val="60"/>
          <w:rFonts w:eastAsiaTheme="minorHAnsi"/>
          <w:i w:val="0"/>
          <w:iCs w:val="0"/>
        </w:rPr>
        <w:br/>
      </w:r>
      <w:r w:rsidRPr="00D846BF">
        <w:rPr>
          <w:rStyle w:val="61"/>
          <w:rFonts w:eastAsiaTheme="minorHAnsi"/>
          <w:i w:val="0"/>
          <w:iCs w:val="0"/>
        </w:rPr>
        <w:t>ТЕМА</w:t>
      </w:r>
    </w:p>
    <w:p w14:paraId="5338E1F7" w14:textId="77777777" w:rsidR="00D846BF" w:rsidRDefault="00D846BF" w:rsidP="00D846BF">
      <w:pPr>
        <w:framePr w:w="9991" w:h="2776" w:hRule="exact" w:wrap="none" w:vAnchor="page" w:hAnchor="page" w:x="1081" w:y="769"/>
        <w:spacing w:after="0" w:line="240" w:lineRule="auto"/>
        <w:ind w:right="40"/>
        <w:jc w:val="center"/>
      </w:pPr>
      <w:r>
        <w:rPr>
          <w:rStyle w:val="70"/>
          <w:rFonts w:eastAsiaTheme="minorHAnsi"/>
          <w:b w:val="0"/>
          <w:bCs w:val="0"/>
          <w:i w:val="0"/>
          <w:iCs w:val="0"/>
        </w:rPr>
        <w:t>пустая строка</w:t>
      </w:r>
    </w:p>
    <w:p w14:paraId="4841A2A9" w14:textId="77777777" w:rsidR="00D846BF" w:rsidRDefault="00D846BF" w:rsidP="00D846BF">
      <w:pPr>
        <w:framePr w:w="9991" w:h="2776" w:hRule="exact" w:wrap="none" w:vAnchor="page" w:hAnchor="page" w:x="1081" w:y="769"/>
        <w:spacing w:after="0" w:line="240" w:lineRule="auto"/>
      </w:pPr>
      <w:r>
        <w:rPr>
          <w:rStyle w:val="20"/>
          <w:rFonts w:eastAsiaTheme="minorHAnsi"/>
        </w:rPr>
        <w:t>Далее идет текст тезисов в указанном формате</w:t>
      </w:r>
    </w:p>
    <w:p w14:paraId="190A16BF" w14:textId="47E9718A" w:rsidR="00D846BF" w:rsidRDefault="00D846BF" w:rsidP="00D846BF">
      <w:pPr>
        <w:framePr w:w="9991" w:h="2776" w:hRule="exact" w:wrap="none" w:vAnchor="page" w:hAnchor="page" w:x="1081" w:y="769"/>
        <w:tabs>
          <w:tab w:val="left" w:pos="7070"/>
        </w:tabs>
        <w:spacing w:after="0" w:line="240" w:lineRule="auto"/>
      </w:pPr>
      <w:r>
        <w:rPr>
          <w:rStyle w:val="60"/>
          <w:rFonts w:eastAsiaTheme="minorHAnsi"/>
          <w:i w:val="0"/>
          <w:iCs w:val="0"/>
        </w:rPr>
        <w:t>Пустая строка</w:t>
      </w:r>
    </w:p>
    <w:p w14:paraId="33175FB3" w14:textId="77777777" w:rsidR="00D846BF" w:rsidRDefault="00D846BF" w:rsidP="00D846BF">
      <w:pPr>
        <w:framePr w:w="9991" w:h="2776" w:hRule="exact" w:wrap="none" w:vAnchor="page" w:hAnchor="page" w:x="1081" w:y="769"/>
        <w:spacing w:after="0" w:line="240" w:lineRule="auto"/>
      </w:pPr>
      <w:r>
        <w:rPr>
          <w:rStyle w:val="20"/>
          <w:rFonts w:eastAsiaTheme="minorHAnsi"/>
        </w:rPr>
        <w:t>Список использованных источников:</w:t>
      </w:r>
    </w:p>
    <w:p w14:paraId="3BA143AE" w14:textId="77777777" w:rsidR="00D846BF" w:rsidRDefault="00D846BF" w:rsidP="00D846BF">
      <w:pPr>
        <w:framePr w:w="9991" w:h="2776" w:hRule="exact" w:wrap="none" w:vAnchor="page" w:hAnchor="page" w:x="1081" w:y="769"/>
        <w:spacing w:after="0" w:line="240" w:lineRule="auto"/>
        <w:ind w:right="6220"/>
        <w:rPr>
          <w:rStyle w:val="60"/>
          <w:rFonts w:eastAsiaTheme="minorHAnsi"/>
          <w:i w:val="0"/>
          <w:iCs w:val="0"/>
        </w:rPr>
      </w:pPr>
      <w:r>
        <w:rPr>
          <w:rStyle w:val="60"/>
          <w:rFonts w:eastAsiaTheme="minorHAnsi"/>
          <w:i w:val="0"/>
          <w:iCs w:val="0"/>
        </w:rPr>
        <w:t>Пустая строка</w:t>
      </w:r>
    </w:p>
    <w:p w14:paraId="22BF265A" w14:textId="5F542F23" w:rsidR="00D846BF" w:rsidRPr="00D846BF" w:rsidRDefault="00D846BF" w:rsidP="00D846BF">
      <w:pPr>
        <w:framePr w:w="9991" w:h="2776" w:hRule="exact" w:wrap="none" w:vAnchor="page" w:hAnchor="page" w:x="1081" w:y="769"/>
        <w:spacing w:after="0" w:line="240" w:lineRule="auto"/>
        <w:ind w:right="6220"/>
        <w:rPr>
          <w:i/>
          <w:iCs/>
        </w:rPr>
      </w:pPr>
      <w:r w:rsidRPr="00D846BF">
        <w:rPr>
          <w:rStyle w:val="60"/>
          <w:rFonts w:eastAsiaTheme="minorHAnsi"/>
          <w:i w:val="0"/>
          <w:iCs w:val="0"/>
        </w:rPr>
        <w:t xml:space="preserve"> </w:t>
      </w:r>
      <w:r w:rsidRPr="00D846BF">
        <w:rPr>
          <w:rStyle w:val="611pt"/>
          <w:rFonts w:eastAsiaTheme="minorHAnsi"/>
          <w:i w:val="0"/>
          <w:iCs w:val="0"/>
        </w:rPr>
        <w:t>источники</w:t>
      </w:r>
    </w:p>
    <w:p w14:paraId="1A2F19BF" w14:textId="77777777" w:rsidR="00D846BF" w:rsidRDefault="00D846BF" w:rsidP="00D846BF">
      <w:pPr>
        <w:framePr w:w="9725" w:h="5600" w:hRule="exact" w:wrap="none" w:vAnchor="page" w:hAnchor="page" w:x="1156" w:y="3661"/>
        <w:spacing w:after="0" w:line="274" w:lineRule="exact"/>
        <w:ind w:firstLine="760"/>
        <w:jc w:val="both"/>
      </w:pPr>
      <w:r>
        <w:rPr>
          <w:rStyle w:val="20"/>
          <w:rFonts w:eastAsiaTheme="minorHAnsi"/>
        </w:rPr>
        <w:t>Оргкомитет оставляет за собой право отбора материалов. Каждый участник конференции представляет только одни материалы (персонально или в соавторстве). Статьи, не соответствующие тематике конференции, критериям научности текста или оформленные не в соответствии с требованиями, а также присланные позднее 01.05.2022 не рассматриваются и не высылаются обратно.</w:t>
      </w:r>
    </w:p>
    <w:p w14:paraId="1BFB8011" w14:textId="77777777" w:rsidR="00D846BF" w:rsidRDefault="00D846BF" w:rsidP="00D846BF">
      <w:pPr>
        <w:framePr w:w="9725" w:h="5600" w:hRule="exact" w:wrap="none" w:vAnchor="page" w:hAnchor="page" w:x="1156" w:y="3661"/>
        <w:spacing w:after="0" w:line="274" w:lineRule="exact"/>
        <w:ind w:firstLine="760"/>
        <w:jc w:val="both"/>
      </w:pPr>
      <w:r>
        <w:rPr>
          <w:rStyle w:val="20"/>
          <w:rFonts w:eastAsiaTheme="minorHAnsi"/>
        </w:rPr>
        <w:t>По окончании работы конференции всем участникам вручаются сертификаты участников.</w:t>
      </w:r>
    </w:p>
    <w:p w14:paraId="1A6CD130" w14:textId="77777777" w:rsidR="00D846BF" w:rsidRDefault="00D846BF" w:rsidP="00D846BF">
      <w:pPr>
        <w:framePr w:w="9725" w:h="5600" w:hRule="exact" w:wrap="none" w:vAnchor="page" w:hAnchor="page" w:x="1156" w:y="3661"/>
        <w:spacing w:after="0" w:line="274" w:lineRule="exact"/>
        <w:jc w:val="both"/>
      </w:pPr>
      <w:bookmarkStart w:id="1" w:name="bookmark3"/>
      <w:r>
        <w:rPr>
          <w:rStyle w:val="30"/>
          <w:rFonts w:eastAsiaTheme="minorHAnsi"/>
          <w:b w:val="0"/>
          <w:bCs w:val="0"/>
        </w:rPr>
        <w:t>АДРЕС ОРГКОМИТЕТА:</w:t>
      </w:r>
      <w:bookmarkEnd w:id="1"/>
    </w:p>
    <w:p w14:paraId="5BA1DD14" w14:textId="77777777" w:rsidR="00D846BF" w:rsidRDefault="00D846BF" w:rsidP="00D846BF">
      <w:pPr>
        <w:framePr w:w="9725" w:h="5600" w:hRule="exact" w:wrap="none" w:vAnchor="page" w:hAnchor="page" w:x="1156" w:y="3661"/>
        <w:spacing w:after="0" w:line="274" w:lineRule="exact"/>
        <w:jc w:val="both"/>
      </w:pPr>
      <w:r>
        <w:rPr>
          <w:rStyle w:val="20"/>
          <w:rFonts w:eastAsiaTheme="minorHAnsi"/>
        </w:rPr>
        <w:t>Республика Беларусь</w:t>
      </w:r>
    </w:p>
    <w:p w14:paraId="6BAB1C68" w14:textId="77777777" w:rsidR="00D846BF" w:rsidRDefault="00D846BF" w:rsidP="00D846BF">
      <w:pPr>
        <w:framePr w:w="9725" w:h="5600" w:hRule="exact" w:wrap="none" w:vAnchor="page" w:hAnchor="page" w:x="1156" w:y="3661"/>
        <w:spacing w:after="275" w:line="274" w:lineRule="exact"/>
        <w:ind w:right="2880"/>
      </w:pPr>
      <w:r>
        <w:rPr>
          <w:rStyle w:val="20"/>
          <w:rFonts w:eastAsiaTheme="minorHAnsi"/>
        </w:rPr>
        <w:t xml:space="preserve">ул. Красноармейская, 11, 225133, г. Пружаны </w:t>
      </w:r>
      <w:r>
        <w:rPr>
          <w:rStyle w:val="20"/>
          <w:rFonts w:eastAsiaTheme="minorHAnsi"/>
          <w:lang w:val="en-US" w:eastAsia="en-US" w:bidi="en-US"/>
        </w:rPr>
        <w:t>E</w:t>
      </w:r>
      <w:r w:rsidRPr="00D72ADF">
        <w:rPr>
          <w:rStyle w:val="20"/>
          <w:rFonts w:eastAsiaTheme="minorHAnsi"/>
          <w:lang w:eastAsia="en-US" w:bidi="en-US"/>
        </w:rPr>
        <w:t>-</w:t>
      </w:r>
      <w:r>
        <w:rPr>
          <w:rStyle w:val="20"/>
          <w:rFonts w:eastAsiaTheme="minorHAnsi"/>
          <w:lang w:val="en-US" w:eastAsia="en-US" w:bidi="en-US"/>
        </w:rPr>
        <w:t>mail</w:t>
      </w:r>
      <w:r w:rsidRPr="00D72ADF">
        <w:rPr>
          <w:rStyle w:val="20"/>
          <w:rFonts w:eastAsiaTheme="minorHAnsi"/>
          <w:lang w:eastAsia="en-US" w:bidi="en-US"/>
        </w:rPr>
        <w:t xml:space="preserve">: </w:t>
      </w:r>
      <w:hyperlink r:id="rId4" w:history="1">
        <w:r>
          <w:rPr>
            <w:rStyle w:val="a3"/>
          </w:rPr>
          <w:t>college@brest.by</w:t>
        </w:r>
      </w:hyperlink>
    </w:p>
    <w:p w14:paraId="1E6DC150" w14:textId="77777777" w:rsidR="00D846BF" w:rsidRDefault="00D846BF" w:rsidP="00D846BF">
      <w:pPr>
        <w:framePr w:w="9725" w:h="5600" w:hRule="exact" w:wrap="none" w:vAnchor="page" w:hAnchor="page" w:x="1156" w:y="3661"/>
        <w:spacing w:after="6" w:line="230" w:lineRule="exact"/>
        <w:jc w:val="both"/>
      </w:pPr>
      <w:r>
        <w:rPr>
          <w:rStyle w:val="60"/>
          <w:rFonts w:eastAsiaTheme="minorHAnsi"/>
          <w:i w:val="0"/>
          <w:iCs w:val="0"/>
        </w:rPr>
        <w:t>Координатор конференции:</w:t>
      </w:r>
    </w:p>
    <w:p w14:paraId="739DD388" w14:textId="77777777" w:rsidR="00D846BF" w:rsidRDefault="00D846BF" w:rsidP="00D846BF">
      <w:pPr>
        <w:framePr w:w="9725" w:h="5600" w:hRule="exact" w:wrap="none" w:vAnchor="page" w:hAnchor="page" w:x="1156" w:y="3661"/>
        <w:spacing w:after="265" w:line="220" w:lineRule="exact"/>
        <w:jc w:val="both"/>
      </w:pPr>
      <w:r>
        <w:rPr>
          <w:rStyle w:val="20"/>
          <w:rFonts w:eastAsiaTheme="minorHAnsi"/>
        </w:rPr>
        <w:t>Жданович Наталия Викторовна, тел. 80163240344, +375297234718</w:t>
      </w:r>
    </w:p>
    <w:p w14:paraId="08C8EE76" w14:textId="77777777" w:rsidR="00D846BF" w:rsidRDefault="00D846BF" w:rsidP="00D846BF">
      <w:pPr>
        <w:framePr w:w="9725" w:h="5600" w:hRule="exact" w:wrap="none" w:vAnchor="page" w:hAnchor="page" w:x="1156" w:y="3661"/>
        <w:spacing w:after="236" w:line="274" w:lineRule="exact"/>
        <w:jc w:val="both"/>
      </w:pPr>
      <w:bookmarkStart w:id="2" w:name="bookmark4"/>
      <w:r>
        <w:rPr>
          <w:rStyle w:val="30"/>
          <w:rFonts w:eastAsiaTheme="minorHAnsi"/>
          <w:b w:val="0"/>
          <w:bCs w:val="0"/>
        </w:rPr>
        <w:t>Обращаем Ваше внимание, что ссылка для дистанционного подключения к конференции будет направлена участникам 11.05.2022.</w:t>
      </w:r>
      <w:bookmarkEnd w:id="2"/>
    </w:p>
    <w:p w14:paraId="1F70E7A1" w14:textId="77777777" w:rsidR="00D846BF" w:rsidRDefault="00D846BF" w:rsidP="00D846BF">
      <w:pPr>
        <w:framePr w:w="9725" w:h="5600" w:hRule="exact" w:wrap="none" w:vAnchor="page" w:hAnchor="page" w:x="1156" w:y="3661"/>
        <w:spacing w:after="0" w:line="278" w:lineRule="exact"/>
        <w:jc w:val="both"/>
      </w:pPr>
      <w:bookmarkStart w:id="3" w:name="bookmark5"/>
      <w:r>
        <w:rPr>
          <w:rStyle w:val="30"/>
          <w:rFonts w:eastAsiaTheme="minorHAnsi"/>
          <w:b w:val="0"/>
          <w:bCs w:val="0"/>
        </w:rPr>
        <w:t>Количество и наименование секций может быть изменено оргкомитетом по итогам представленных заявок и тезисов.</w:t>
      </w:r>
      <w:bookmarkEnd w:id="3"/>
    </w:p>
    <w:p w14:paraId="5272B60B" w14:textId="77777777" w:rsidR="00067865" w:rsidRDefault="00067865"/>
    <w:sectPr w:rsidR="00067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6BF"/>
    <w:rsid w:val="00067865"/>
    <w:rsid w:val="00D8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A7332"/>
  <w15:chartTrackingRefBased/>
  <w15:docId w15:val="{1AA1EF72-3B89-4FCC-8DDB-4EF2194BB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846BF"/>
    <w:rPr>
      <w:color w:val="0066CC"/>
      <w:u w:val="single"/>
    </w:rPr>
  </w:style>
  <w:style w:type="character" w:customStyle="1" w:styleId="2">
    <w:name w:val="Основной текст (2)_"/>
    <w:basedOn w:val="a0"/>
    <w:rsid w:val="00D846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D846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Заголовок №3_"/>
    <w:basedOn w:val="a0"/>
    <w:rsid w:val="00D846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0">
    <w:name w:val="Заголовок №3"/>
    <w:basedOn w:val="3"/>
    <w:rsid w:val="00D846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Arial115pt">
    <w:name w:val="Основной текст (2) + Arial;11;5 pt"/>
    <w:basedOn w:val="2"/>
    <w:rsid w:val="00D846B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6">
    <w:name w:val="Основной текст (6)_"/>
    <w:basedOn w:val="a0"/>
    <w:rsid w:val="00D846B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60">
    <w:name w:val="Основной текст (6)"/>
    <w:basedOn w:val="6"/>
    <w:rsid w:val="00D846B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61">
    <w:name w:val="Основной текст (6) + Полужирный;Не курсив"/>
    <w:basedOn w:val="6"/>
    <w:rsid w:val="00D846B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7">
    <w:name w:val="Основной текст (7)_"/>
    <w:basedOn w:val="a0"/>
    <w:rsid w:val="00D846BF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70">
    <w:name w:val="Основной текст (7)"/>
    <w:basedOn w:val="7"/>
    <w:rsid w:val="00D846B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11pt">
    <w:name w:val="Основной текст (6) + 11 pt;Не курсив"/>
    <w:basedOn w:val="6"/>
    <w:rsid w:val="00D846B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llege@brest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1</cp:revision>
  <dcterms:created xsi:type="dcterms:W3CDTF">2022-04-19T07:11:00Z</dcterms:created>
  <dcterms:modified xsi:type="dcterms:W3CDTF">2022-04-19T07:15:00Z</dcterms:modified>
</cp:coreProperties>
</file>